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DBC12" w14:textId="77777777" w:rsidR="001368EC" w:rsidRDefault="001368EC" w:rsidP="00475EBA">
      <w:bookmarkStart w:id="0" w:name="_GoBack"/>
      <w:bookmarkEnd w:id="0"/>
    </w:p>
    <w:p w14:paraId="7C475E2E" w14:textId="77777777" w:rsidR="00A847D2" w:rsidRDefault="00A847D2" w:rsidP="00475EBA"/>
    <w:p w14:paraId="4A9C912B" w14:textId="3FB4005D" w:rsidR="00A847D2" w:rsidRDefault="00A847D2" w:rsidP="00475EBA">
      <w:r>
        <w:t>INFORMACE O PŘIPRAVENOSTI RF PROVÉST PREVENTIVNÍ ŮDERY</w:t>
      </w:r>
    </w:p>
    <w:p w14:paraId="2C039899" w14:textId="77777777" w:rsidR="00A847D2" w:rsidRDefault="00A847D2" w:rsidP="00475EBA"/>
    <w:p w14:paraId="23D9DBAD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  <w:rPr>
          <w:rFonts w:ascii="inherit" w:hAnsi="inherit"/>
          <w:sz w:val="28"/>
          <w:szCs w:val="28"/>
          <w:bdr w:val="none" w:sz="0" w:space="0" w:color="auto" w:frame="1"/>
        </w:rPr>
      </w:pPr>
      <w:r>
        <w:rPr>
          <w:rFonts w:ascii="inherit" w:hAnsi="inherit"/>
          <w:sz w:val="28"/>
          <w:szCs w:val="28"/>
          <w:bdr w:val="none" w:sz="0" w:space="0" w:color="auto" w:frame="1"/>
        </w:rPr>
        <w:t>Ruský ministr zahraničí Lavrov, oznámil před pár hodinami, že Rusko už oficiálně informovalo jaderné mocnosti zemí NATO – USA, Francii a Velkou Británii, že v okamžiku předání letadel F-16 Ukrajině, nebude Rusko čekat a zkoumat, zda tyto letadla budou vyzbrojena jadernými zbraněmi, a bude je automaticky považovat za jaderné nosiče, a jadernou hrozbu pro bezpečnost Ruska. </w:t>
      </w:r>
    </w:p>
    <w:p w14:paraId="02735B3B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</w:p>
    <w:p w14:paraId="77CD334B" w14:textId="77777777" w:rsidR="00A847D2" w:rsidRDefault="00AF4784" w:rsidP="00A847D2">
      <w:pPr>
        <w:pStyle w:val="Normlnweb"/>
        <w:spacing w:before="0" w:beforeAutospacing="0" w:after="0" w:afterAutospacing="0"/>
        <w:textAlignment w:val="baseline"/>
      </w:pPr>
      <w:hyperlink r:id="rId7" w:history="1">
        <w:r w:rsidR="00A847D2"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Ruské oficiální oznámení jaderným mocnostem NATO je tak zcela v souladu s ruskou válečnou doktrínou, která umožňuje prezidentovi Ruska, aby o budoucím použití jaderných zbraní informoval ostatní státy a mezinárodní organizace předem. Podle ruské válečné doktríny, totiž může prezident použít jaderné zbraně pouze ve čtyřech případech:</w:t>
        </w:r>
      </w:hyperlink>
    </w:p>
    <w:p w14:paraId="1F6B9AE4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</w:p>
    <w:p w14:paraId="1635ADF9" w14:textId="77777777" w:rsidR="00A847D2" w:rsidRDefault="00A847D2" w:rsidP="00A847D2">
      <w:pPr>
        <w:numPr>
          <w:ilvl w:val="0"/>
          <w:numId w:val="15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Na odvrácení konvenčního útoku, který ohrožuje samotnou existenci ruského státu.</w:t>
      </w:r>
    </w:p>
    <w:p w14:paraId="245FE853" w14:textId="77777777" w:rsidR="00A847D2" w:rsidRDefault="00A847D2" w:rsidP="00A847D2">
      <w:pPr>
        <w:numPr>
          <w:ilvl w:val="0"/>
          <w:numId w:val="15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Na odvracení útoku s použitím zbraní hromadného ničení, který je podniknut proti Rusku a jeho spojencům.</w:t>
      </w:r>
    </w:p>
    <w:p w14:paraId="0E607AD8" w14:textId="77777777" w:rsidR="00A847D2" w:rsidRDefault="00A847D2" w:rsidP="00A847D2">
      <w:pPr>
        <w:numPr>
          <w:ilvl w:val="0"/>
          <w:numId w:val="15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Při hodnověrném zjištění masivního odpalu balistických raket, nebo podobných zbraní,  nebo letu jaderných nosičů ve směru na území Ruska</w:t>
      </w:r>
    </w:p>
    <w:p w14:paraId="265556E9" w14:textId="77777777" w:rsidR="00A847D2" w:rsidRPr="00A847D2" w:rsidRDefault="00A847D2" w:rsidP="00A847D2">
      <w:pPr>
        <w:numPr>
          <w:ilvl w:val="0"/>
          <w:numId w:val="15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Nebo při jakémkoli působení protivníka na kritické body, základny a infrastrukturu Ruska, jejichž vyvedení z provozu by snížilo možnost ruských jaderných odvetných úderů.</w:t>
      </w:r>
    </w:p>
    <w:p w14:paraId="75578E71" w14:textId="77777777" w:rsidR="00A847D2" w:rsidRDefault="00A847D2" w:rsidP="00A847D2">
      <w:pPr>
        <w:ind w:left="1185"/>
        <w:textAlignment w:val="baseline"/>
      </w:pPr>
    </w:p>
    <w:p w14:paraId="32F3E317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  <w:rPr>
          <w:rFonts w:ascii="inherit" w:hAnsi="inherit"/>
          <w:sz w:val="28"/>
          <w:szCs w:val="28"/>
          <w:bdr w:val="none" w:sz="0" w:space="0" w:color="auto" w:frame="1"/>
        </w:rPr>
      </w:pPr>
      <w:r>
        <w:rPr>
          <w:rFonts w:ascii="inherit" w:hAnsi="inherit"/>
          <w:sz w:val="28"/>
          <w:szCs w:val="28"/>
          <w:bdr w:val="none" w:sz="0" w:space="0" w:color="auto" w:frame="1"/>
        </w:rPr>
        <w:t>Lavrov výslovně v rozhovoru uvedl, že Rusko nebude zkoumat, zda F-16 předaný Ukrajině, je jaderný nosič, nebo není, ale že ho bude automaticky považovat za jaderný nosič a jadernou hrozbu. Tím se automaticky, podle bodu 3 a 4 ruské válečné doktríny otevírá prostor pro nasazení jaderných zbraní – viz let jaderného nosiče směrem k Rusku, – viz potenciální ohrožení ruských jaderných zbraní, třeba v oblasti východně od Voroněže u města </w:t>
      </w:r>
      <w:hyperlink r:id="rId8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Borisoglebsk</w:t>
        </w:r>
      </w:hyperlink>
      <w:r>
        <w:rPr>
          <w:rFonts w:ascii="inherit" w:hAnsi="inherit"/>
          <w:sz w:val="28"/>
          <w:szCs w:val="28"/>
          <w:bdr w:val="none" w:sz="0" w:space="0" w:color="auto" w:frame="1"/>
        </w:rPr>
        <w:t>. </w:t>
      </w:r>
    </w:p>
    <w:p w14:paraId="5374AE8A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</w:p>
    <w:p w14:paraId="515BB6E8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USA, Francie a Velká Británie podle Lavrova už příslušná varování obdržely před několika dny. Pravděpodobně proto na summitu NATO ve Vilniusu už zařadili jejich pohlaváři zpátečku. </w:t>
      </w:r>
    </w:p>
    <w:p w14:paraId="4684BC0C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Nejsnazší způsob likvidace letadel F-16 na Ukrajině je:</w:t>
      </w:r>
    </w:p>
    <w:p w14:paraId="6D2EE30F" w14:textId="77777777" w:rsidR="00A847D2" w:rsidRDefault="00A847D2" w:rsidP="00A847D2">
      <w:pPr>
        <w:numPr>
          <w:ilvl w:val="0"/>
          <w:numId w:val="16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 xml:space="preserve">Taktický jaderný úder proti letištím, na kterých budou F-16 rozmístěna. Vzhledem k pravděpodobnosti, že Kyjevská generalita tato letadla umístí na letiště poblíž Kyjeva nebo dalších měst, by </w:t>
      </w:r>
      <w:r>
        <w:rPr>
          <w:rFonts w:ascii="inherit" w:hAnsi="inherit"/>
          <w:sz w:val="28"/>
          <w:szCs w:val="28"/>
          <w:bdr w:val="none" w:sz="0" w:space="0" w:color="auto" w:frame="1"/>
        </w:rPr>
        <w:lastRenderedPageBreak/>
        <w:t>taktický jaderný úder proti těmto letištím zvedl mračna radioaktivního prachu, a ta by ohrozila životy obyvatel měst, a náklady na dekontaminaci prostoru by byly obrovské. Politicky bude toto řešení pro Putina zřejmě nepřijatelné, protože celou dobu války se Rusové zatím snaží minimalizovat civilní ztráty, které vznikají v důsledku jejich raketových úderů proti vojenským a strategickým ekonomickým cílům ve městech. </w:t>
      </w:r>
    </w:p>
    <w:p w14:paraId="3AC9BA53" w14:textId="77777777" w:rsidR="00A847D2" w:rsidRDefault="00A847D2" w:rsidP="00A847D2">
      <w:pPr>
        <w:numPr>
          <w:ilvl w:val="0"/>
          <w:numId w:val="16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Taktický atmosférický jaderný úder proti letícím letadlům F-16. Provedení tohoto úderu je nejsnazším způsobem likvidace letadel F-16. Tento úder usnadňuje skutečnost, </w:t>
      </w:r>
      <w:hyperlink r:id="rId9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že Georg Bush mladší 13. prosince 2001 odstoupil od smlouvy ABM</w:t>
        </w:r>
      </w:hyperlink>
      <w:r>
        <w:rPr>
          <w:rFonts w:ascii="inherit" w:hAnsi="inherit"/>
          <w:sz w:val="28"/>
          <w:szCs w:val="28"/>
          <w:bdr w:val="none" w:sz="0" w:space="0" w:color="auto" w:frame="1"/>
        </w:rPr>
        <w:t>, která omezovala protiraketové jaderné obranné raketové systémy USA a SSSR/Ruska na 1 komplex o 100 raketách. Komplex USA bylo povoleno umístit pouze ve státu Severní Dakota. Komplex Ruska pouze v okolí Moskvy. V souladu se smlouvou nesměly být žádné další protiraketové systémy vybaveny jadernými hlavicemi, ani nijak přemísťovány. Smlouvu vypověděl Bush, protože mu neumožňovala rozšiřovat protiraketovou obranu po celém světě. V důsledku vypovězení smlouvy USA, Rusům nic nebránilo, aby své protiletadlové rakety S-300 a modernější osadili jadernými hlavicemi, </w:t>
      </w:r>
      <w:hyperlink r:id="rId10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pravděpodobně ráže 25 až 400kt, jak bylo obvyklé u systému omezených smlouvou ABM.</w:t>
        </w:r>
      </w:hyperlink>
    </w:p>
    <w:p w14:paraId="67FDD000" w14:textId="77777777" w:rsidR="00A847D2" w:rsidRDefault="00A847D2" w:rsidP="00A847D2">
      <w:pPr>
        <w:numPr>
          <w:ilvl w:val="0"/>
          <w:numId w:val="16"/>
        </w:numPr>
        <w:ind w:left="1185" w:firstLine="0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Pokud by obdobný úder byl proveden na Letiště Václava Havla ve výši 500 m hlavicí o ráži 300kt mělo by to tyto následky:Hlavice by během miliontiny sekundy uvolnila 300 bilionů kalorií energie primárně ve formě intenzivního světla. Okolní vzduch by se přehřál a vytvořil by rychle se rozpínající ohnivou kouli. Téměř všechen vzduch v ohnivé kouli, a kolem ní, by byl stlačen do  světelné tlakové vlny obrovského rozsahu a síly.2km od epicentra: </w:t>
      </w:r>
      <w:hyperlink r:id="rId11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Okamžitě by v nákupním a kancelářském komplexu OC Šestka</w:t>
        </w:r>
      </w:hyperlink>
      <w:r>
        <w:rPr>
          <w:rFonts w:ascii="inherit" w:hAnsi="inherit"/>
          <w:sz w:val="28"/>
          <w:szCs w:val="28"/>
          <w:bdr w:val="none" w:sz="0" w:space="0" w:color="auto" w:frame="1"/>
        </w:rPr>
        <w:t xml:space="preserve">, 2km od bodu exploze nad letištěm, žár z ohnivé koule roztavil asfalt na parkovišti, spálil barvu na stěnách a roztavil kovové materiály během půl sekundy po detonaci. Zaparkovaná vozidla by explodovala v plamenech. Asi o jednu sekundu později by do OC Šestka dorazila tlaková vlna o rychlosti větru 1 200 km za hodinu a vymrštila by hořící a tavící se vozidla do vzduchu jako listí ve větru. Tlaková vlna by pronikla do budov a proměnila by okna i nábytek na poletující střely a šrapnely. Interiéry budov, které by zůstaly stát, by se během vteřiny proměnily v hořící vatry plné rozbitých příček, dveří a dalších hořlavin. Sekundu po průchodu tlakové vlny by zpětné sací efekty vytvořené zčásti stoupající ohnivou koulí obrátily vítr a přitáhly by </w:t>
      </w:r>
      <w:r>
        <w:rPr>
          <w:rFonts w:ascii="inherit" w:hAnsi="inherit"/>
          <w:sz w:val="28"/>
          <w:szCs w:val="28"/>
          <w:bdr w:val="none" w:sz="0" w:space="0" w:color="auto" w:frame="1"/>
        </w:rPr>
        <w:lastRenderedPageBreak/>
        <w:t>všechna vozidla a trosky zpět k detonačnímu bodu nad letištěm Havla rychlostí asi 800 km/h.4km od epicentra: Všechny obce v okruhu 4km od epicentra jako Hostivice, Dobrovíz, čí Kněževes by do sekundy pohltila ohnivá koule 5000 krát jasněji než pouštní slunce. Tráva, vegetace a listí na stromech by explodovaly v plameny a povrch země by se proměnil v rozžhavený poletující prach. Ze všech hořlavých materiálů osvětlených ohnivou koulí by chrlily plameny a černý kouř. Letící ptáci by spadli z nebe v plamenech. Lidé vystavení záři by byli okamžitě zpopelněni. O čtyři sekundy později by dorazila tlaková s rychlostí větru 600km/h, který by zcela zničila dřevěné a cihlové budovy. Hliníkové materiály by se roztavily a zkroutily. Pneumatiky na vozidlech by vzplály. </w:t>
      </w:r>
    </w:p>
    <w:p w14:paraId="0F2185A4" w14:textId="77777777" w:rsidR="00A847D2" w:rsidRDefault="00A847D2" w:rsidP="00A847D2">
      <w:pPr>
        <w:pStyle w:val="Normlnweb"/>
        <w:spacing w:before="0" w:beforeAutospacing="0" w:after="0" w:afterAutospacing="0"/>
        <w:ind w:left="1185"/>
        <w:textAlignment w:val="baseline"/>
      </w:pPr>
      <w:r>
        <w:rPr>
          <w:rFonts w:ascii="inherit" w:hAnsi="inherit"/>
          <w:sz w:val="28"/>
          <w:szCs w:val="28"/>
          <w:bdr w:val="none" w:sz="0" w:space="0" w:color="auto" w:frame="1"/>
        </w:rPr>
        <w:t> 6km od epicentra by v sekundě oblečení na lidech, v přímém zorném poli na ohnivou kouli, vzplanulo nebo se roztavilo, a kůže nepokrytá oblečením by se spálila na maso a způsobila popáleniny nejvyššího třetího stupně. Do 10km ve všech směrech by jakékoli stvoření, které by nemělo to štěstí, že by se v okamžiku detonace nepodívalo do ohnivé koule, buď osleplo, nebo utrpělo trvalé poškození sítnice.</w:t>
      </w:r>
    </w:p>
    <w:p w14:paraId="14109ECD" w14:textId="77777777" w:rsidR="00A847D2" w:rsidRDefault="00A847D2" w:rsidP="00A847D2">
      <w:pPr>
        <w:pStyle w:val="Normlnweb"/>
        <w:spacing w:before="0" w:beforeAutospacing="0" w:after="0" w:afterAutospacing="0"/>
        <w:ind w:left="1185"/>
        <w:textAlignment w:val="baseline"/>
        <w:rPr>
          <w:rFonts w:ascii="inherit" w:hAnsi="inherit"/>
          <w:sz w:val="28"/>
          <w:szCs w:val="28"/>
          <w:bdr w:val="none" w:sz="0" w:space="0" w:color="auto" w:frame="1"/>
        </w:rPr>
      </w:pPr>
      <w:r>
        <w:rPr>
          <w:rFonts w:ascii="inherit" w:hAnsi="inherit"/>
          <w:sz w:val="28"/>
          <w:szCs w:val="28"/>
          <w:bdr w:val="none" w:sz="0" w:space="0" w:color="auto" w:frame="1"/>
        </w:rPr>
        <w:t>Detonace o síle 300 kT by vytvořila celoplošný požár o poloměru 6km za všech povětrnostních podmínek. Tento gigantický požár by rychle nabral na intenzitě a během několika minut by vytvořil přízemní větry o síle hurikánu s průměrnými teplotami vzduchu vysoko nad 100 stupňů celsia. Oheň při této intenzitě by hořel po dobu tří až šesti hodin a vytvořil by vražedné prostředí na celkové ploše přibližně 100km čtverečných – oblast asi 10 až 15krát větší </w:t>
      </w:r>
      <w:hyperlink r:id="rId12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než byla oblast spálená 15 kT atomovou bombou, která zničila Hirošimu</w:t>
        </w:r>
      </w:hyperlink>
      <w:r>
        <w:rPr>
          <w:rFonts w:ascii="inherit" w:hAnsi="inherit"/>
          <w:sz w:val="28"/>
          <w:szCs w:val="28"/>
          <w:bdr w:val="none" w:sz="0" w:space="0" w:color="auto" w:frame="1"/>
        </w:rPr>
        <w:t>. Dokonce i poté, co by požáry vyhořely, by byly chodníky tak horké, že by po nich nemohla projet ani pásová vozidla po dobu několika dní, a nespálené materiály ze zřícených budov by mohly znova vzplanout, pokud by byly vystaveny rozpálenému vzduchu i týdny po útoku. Ti, kteří se by snažili uprchnout ulicemi, by byli zaživa spáleni větry o síle hurikánu prosyceného plameny a ohnivými koulemi. Dokonce i ti, kteří by hledali úkryt v nejhlubších podzemních podlažích masivních budov, by pravděpodobně zemřeli v důsledku horka, udušení nebo nedostatku vody. Nebylo by úniku. Oheň by zlikvidoval veškerý život v zasažené zóně. Kouř a houbový mrak, kypící radioaktivitou, by zastínil slunce. Smrtící spad by zamořil stovky čtverečních km po větru radioaktivními jedy z výbuchu a odsoudil by statisíce lidí a zvířat k bolestivé a kruté smrti na nemoc z ozáření. Velká část půdy kontaminované radioaktivním spadem by zůstala neobyvatelná po celá léta. Vyšší úmrtnost na rakovinu, leukémie a genetické poškození by trvala po staletí po mnohé následující generace. (</w:t>
      </w:r>
      <w:hyperlink r:id="rId13" w:history="1">
        <w:r>
          <w:rPr>
            <w:rStyle w:val="Hypertextovodkaz"/>
            <w:rFonts w:ascii="inherit" w:hAnsi="inherit"/>
            <w:color w:val="FF7300"/>
            <w:sz w:val="28"/>
            <w:szCs w:val="28"/>
            <w:bdr w:val="none" w:sz="0" w:space="0" w:color="auto" w:frame="1"/>
          </w:rPr>
          <w:t>Zdroj přepočtu</w:t>
        </w:r>
      </w:hyperlink>
      <w:r>
        <w:rPr>
          <w:rFonts w:ascii="inherit" w:hAnsi="inherit"/>
          <w:sz w:val="28"/>
          <w:szCs w:val="28"/>
          <w:bdr w:val="none" w:sz="0" w:space="0" w:color="auto" w:frame="1"/>
        </w:rPr>
        <w:t>.)</w:t>
      </w:r>
    </w:p>
    <w:p w14:paraId="38AE01B9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  <w:rPr>
          <w:rFonts w:ascii="inherit" w:hAnsi="inherit"/>
          <w:sz w:val="28"/>
          <w:szCs w:val="28"/>
          <w:bdr w:val="none" w:sz="0" w:space="0" w:color="auto" w:frame="1"/>
        </w:rPr>
      </w:pPr>
    </w:p>
    <w:p w14:paraId="54518006" w14:textId="078AB57E" w:rsidR="00A847D2" w:rsidRDefault="00A847D2" w:rsidP="00A847D2">
      <w:pPr>
        <w:pStyle w:val="Normlnweb"/>
        <w:spacing w:before="0" w:beforeAutospacing="0" w:after="0" w:afterAutospacing="0"/>
        <w:textAlignment w:val="baseline"/>
        <w:rPr>
          <w:rFonts w:ascii="inherit" w:hAnsi="inherit"/>
          <w:sz w:val="28"/>
          <w:szCs w:val="28"/>
          <w:bdr w:val="none" w:sz="0" w:space="0" w:color="auto" w:frame="1"/>
        </w:rPr>
      </w:pPr>
      <w:r>
        <w:rPr>
          <w:rFonts w:ascii="inherit" w:hAnsi="inherit"/>
          <w:sz w:val="28"/>
          <w:szCs w:val="28"/>
          <w:bdr w:val="none" w:sz="0" w:space="0" w:color="auto" w:frame="1"/>
        </w:rPr>
        <w:t>Ruské jaderné varování bylo doručeno, stejně jako bylo v listopadu 2021 doručeno Putinovo varování, že přepadne Ukrajinu pokud nebudou splněny jeho bezpečnostní požadavky. Současné ruské požadavky definované včera Lavrovem jsou: </w:t>
      </w:r>
    </w:p>
    <w:p w14:paraId="1ADA44D5" w14:textId="77777777" w:rsidR="00A847D2" w:rsidRDefault="00A847D2" w:rsidP="00A847D2">
      <w:pPr>
        <w:pStyle w:val="Normlnweb"/>
        <w:spacing w:before="0" w:beforeAutospacing="0" w:after="0" w:afterAutospacing="0"/>
        <w:textAlignment w:val="baseline"/>
      </w:pPr>
    </w:p>
    <w:p w14:paraId="55A9561F" w14:textId="77777777" w:rsidR="00A847D2" w:rsidRDefault="00A847D2" w:rsidP="00A847D2">
      <w:pPr>
        <w:pStyle w:val="box-quotecontent-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185" w:firstLine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Ukrajina se musí vrátit k neutrálnímu neblokovému statusu, odmítnout vstup do NATO a potvrdit svůj nejaderný status.</w:t>
      </w:r>
    </w:p>
    <w:p w14:paraId="5C59CB56" w14:textId="77777777" w:rsidR="00A847D2" w:rsidRDefault="00A847D2" w:rsidP="00A847D2">
      <w:pPr>
        <w:pStyle w:val="box-quotecontent-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185" w:firstLine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Vůle obyvatel lidových republik Donbasu, Chersonské a Záporožské oblasti ve prospěch politické jednoty s Ruskem musí být Ukrajinou uznána. Ukrajina tedy musí předat Rusku i města Cherson a Záporoží na pravém břehu Dněpru!</w:t>
      </w:r>
    </w:p>
    <w:p w14:paraId="7BDA878B" w14:textId="77777777" w:rsidR="00A847D2" w:rsidRDefault="00A847D2" w:rsidP="00A847D2">
      <w:pPr>
        <w:pStyle w:val="box-quotecontent-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185" w:firstLine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Kyjevské úřady musí na svém zbylém území zajistit práva rusky mluvících občanů a národnostních menšin, včetně oficiálního statutu ruského jazyka.</w:t>
      </w:r>
    </w:p>
    <w:p w14:paraId="098ECF84" w14:textId="77777777" w:rsidR="00A847D2" w:rsidRDefault="00A847D2" w:rsidP="00A847D2">
      <w:pPr>
        <w:numPr>
          <w:ilvl w:val="0"/>
          <w:numId w:val="17"/>
        </w:numPr>
        <w:shd w:val="clear" w:color="auto" w:fill="FFFFFF"/>
        <w:ind w:left="1185" w:firstLine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Vzhledem k tomu, že konflikt, který má kořeny v puči na Ukrajině v roce 2014, má geopolitický rozměr, bude třeba řešit i otázku ruských bezpečnostních záruk na ruských západních hranicích.</w:t>
      </w:r>
    </w:p>
    <w:p w14:paraId="46BBC3B5" w14:textId="77777777" w:rsidR="00A847D2" w:rsidRPr="00A847D2" w:rsidRDefault="00A847D2" w:rsidP="00A847D2">
      <w:pPr>
        <w:numPr>
          <w:ilvl w:val="0"/>
          <w:numId w:val="17"/>
        </w:numPr>
        <w:shd w:val="clear" w:color="auto" w:fill="FFFFFF"/>
        <w:ind w:left="1185" w:firstLine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Jakékoli další „mírové formulace“ Volodymyra Zelenského, mimo rámec ruských požadavků jsou naprosto nepřijatelné a neperspektivní.</w:t>
      </w:r>
    </w:p>
    <w:p w14:paraId="35C0251C" w14:textId="77777777" w:rsidR="00A847D2" w:rsidRDefault="00A847D2" w:rsidP="00A847D2">
      <w:pPr>
        <w:shd w:val="clear" w:color="auto" w:fill="FFFFFF"/>
        <w:ind w:left="1185"/>
        <w:textAlignment w:val="baseline"/>
        <w:rPr>
          <w:rFonts w:ascii="Open Sans" w:hAnsi="Open Sans" w:cs="Open Sans"/>
          <w:color w:val="666666"/>
          <w:sz w:val="23"/>
          <w:szCs w:val="23"/>
        </w:rPr>
      </w:pPr>
    </w:p>
    <w:p w14:paraId="2C4FDEE8" w14:textId="77777777" w:rsidR="00A847D2" w:rsidRDefault="00A847D2" w:rsidP="00A847D2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666666"/>
          <w:sz w:val="23"/>
          <w:szCs w:val="23"/>
        </w:rPr>
      </w:pPr>
      <w:r>
        <w:rPr>
          <w:rFonts w:ascii="inherit" w:hAnsi="inherit" w:cs="Open Sans"/>
          <w:color w:val="666666"/>
          <w:sz w:val="28"/>
          <w:szCs w:val="28"/>
          <w:bdr w:val="none" w:sz="0" w:space="0" w:color="auto" w:frame="1"/>
        </w:rPr>
        <w:t>Je tedy evidentní, že Rusko, je připraveno proti Kyjevu použít jaderné zbraně, pokud bude vyzbrojen jadernými nosiči F-16. Přičemž formulace, kterou Lavrov zveřejnil, nevylučuje použití jaderných prostředků ani proti zemím, které by Kyjev jadernými nosiči vyzbrojovaly. Zdá se tedy, že hrůza jaderné války se opět přiblížila. </w:t>
      </w:r>
    </w:p>
    <w:p w14:paraId="21B42040" w14:textId="77777777" w:rsidR="00A847D2" w:rsidRDefault="00A847D2" w:rsidP="00475EBA"/>
    <w:p w14:paraId="5F911A0F" w14:textId="6F7536F4" w:rsidR="002376E4" w:rsidRPr="00475EBA" w:rsidRDefault="002376E4" w:rsidP="00475EBA">
      <w:r>
        <w:t xml:space="preserve">Zdroj: MAP 1727, 13.7.2023, aktualizováno k 17,00,  </w:t>
      </w:r>
      <w:r w:rsidRPr="002376E4">
        <w:t>https://www.michalapetr.com/</w:t>
      </w:r>
    </w:p>
    <w:sectPr w:rsidR="002376E4" w:rsidRPr="00475E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128E5" w14:textId="77777777" w:rsidR="00AF4784" w:rsidRDefault="00AF4784" w:rsidP="00AF4784">
      <w:r>
        <w:separator/>
      </w:r>
    </w:p>
  </w:endnote>
  <w:endnote w:type="continuationSeparator" w:id="0">
    <w:p w14:paraId="14018887" w14:textId="77777777" w:rsidR="00AF4784" w:rsidRDefault="00AF4784" w:rsidP="00AF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0F942" w14:textId="77777777" w:rsidR="00AF4784" w:rsidRDefault="00AF47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A39F1" w14:textId="77777777" w:rsidR="00AF4784" w:rsidRDefault="00AF478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D3646" w14:textId="77777777" w:rsidR="00AF4784" w:rsidRDefault="00AF47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62ED4" w14:textId="77777777" w:rsidR="00AF4784" w:rsidRDefault="00AF4784" w:rsidP="00AF4784">
      <w:r>
        <w:separator/>
      </w:r>
    </w:p>
  </w:footnote>
  <w:footnote w:type="continuationSeparator" w:id="0">
    <w:p w14:paraId="7B47271E" w14:textId="77777777" w:rsidR="00AF4784" w:rsidRDefault="00AF4784" w:rsidP="00AF4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B9350" w14:textId="77777777" w:rsidR="00AF4784" w:rsidRDefault="00AF47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0371D" w14:textId="0B9056EC" w:rsidR="00AF4784" w:rsidRDefault="00AF4784">
    <w:pPr>
      <w:pStyle w:val="Zhlav"/>
    </w:pPr>
    <w:r>
      <w:rPr>
        <w:noProof/>
      </w:rPr>
      <w:pict w14:anchorId="3B6345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72080" w14:textId="77777777" w:rsidR="00AF4784" w:rsidRDefault="00AF47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2FBF"/>
    <w:multiLevelType w:val="hybridMultilevel"/>
    <w:tmpl w:val="4918A07C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B119E"/>
    <w:multiLevelType w:val="hybridMultilevel"/>
    <w:tmpl w:val="2228AC14"/>
    <w:lvl w:ilvl="0" w:tplc="75523B66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62219"/>
    <w:multiLevelType w:val="hybridMultilevel"/>
    <w:tmpl w:val="D534DF44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671B0"/>
    <w:multiLevelType w:val="hybridMultilevel"/>
    <w:tmpl w:val="0D524C0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F7EA0"/>
    <w:multiLevelType w:val="multilevel"/>
    <w:tmpl w:val="04EAF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9398E"/>
    <w:multiLevelType w:val="multilevel"/>
    <w:tmpl w:val="7E66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E53EA0"/>
    <w:multiLevelType w:val="multilevel"/>
    <w:tmpl w:val="8C04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513AC"/>
    <w:multiLevelType w:val="hybridMultilevel"/>
    <w:tmpl w:val="71C2A4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413A7"/>
    <w:multiLevelType w:val="hybridMultilevel"/>
    <w:tmpl w:val="D6F63F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95AAC"/>
    <w:multiLevelType w:val="hybridMultilevel"/>
    <w:tmpl w:val="F9E0C9F2"/>
    <w:lvl w:ilvl="0" w:tplc="C74E7B3A">
      <w:start w:val="1"/>
      <w:numFmt w:val="decimal"/>
      <w:lvlText w:val="%1."/>
      <w:lvlJc w:val="left"/>
      <w:pPr>
        <w:ind w:left="420" w:hanging="360"/>
      </w:pPr>
      <w:rPr>
        <w:b w:val="0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61F0D27"/>
    <w:multiLevelType w:val="hybridMultilevel"/>
    <w:tmpl w:val="ED2065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C089A"/>
    <w:multiLevelType w:val="hybridMultilevel"/>
    <w:tmpl w:val="3AA8D154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D1529"/>
    <w:multiLevelType w:val="hybridMultilevel"/>
    <w:tmpl w:val="3FD4246E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9358B"/>
    <w:multiLevelType w:val="hybridMultilevel"/>
    <w:tmpl w:val="D87A4A1C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F54AC"/>
    <w:multiLevelType w:val="hybridMultilevel"/>
    <w:tmpl w:val="1570CD4C"/>
    <w:lvl w:ilvl="0" w:tplc="1D989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957748"/>
    <w:multiLevelType w:val="multilevel"/>
    <w:tmpl w:val="CB587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4"/>
  </w:num>
  <w:num w:numId="5">
    <w:abstractNumId w:val="14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Vj9KhN43CHs4Z44Lv3CNMQnxc4OUnz9TKn1sf3jhQARY9ExXrcRXN/gXEKFXze+9x3/b0t7oNlf+ghsSyeogw==" w:salt="/0D7Htp9UUmOA7smzr2eO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4E"/>
    <w:rsid w:val="00032602"/>
    <w:rsid w:val="00036C84"/>
    <w:rsid w:val="0005447B"/>
    <w:rsid w:val="00056A55"/>
    <w:rsid w:val="0008208E"/>
    <w:rsid w:val="00096022"/>
    <w:rsid w:val="000A70D6"/>
    <w:rsid w:val="000A71BB"/>
    <w:rsid w:val="000C3F5D"/>
    <w:rsid w:val="000C431E"/>
    <w:rsid w:val="000C6224"/>
    <w:rsid w:val="000E1C3E"/>
    <w:rsid w:val="00104126"/>
    <w:rsid w:val="001142CE"/>
    <w:rsid w:val="00124463"/>
    <w:rsid w:val="001368EC"/>
    <w:rsid w:val="00156546"/>
    <w:rsid w:val="00160028"/>
    <w:rsid w:val="001A128E"/>
    <w:rsid w:val="001B140E"/>
    <w:rsid w:val="001B7F5D"/>
    <w:rsid w:val="001E0806"/>
    <w:rsid w:val="001F4893"/>
    <w:rsid w:val="002014E2"/>
    <w:rsid w:val="00201FFA"/>
    <w:rsid w:val="002064D5"/>
    <w:rsid w:val="002139DE"/>
    <w:rsid w:val="002376E4"/>
    <w:rsid w:val="00246949"/>
    <w:rsid w:val="00283FF8"/>
    <w:rsid w:val="00295888"/>
    <w:rsid w:val="00296907"/>
    <w:rsid w:val="002B105B"/>
    <w:rsid w:val="002E59F6"/>
    <w:rsid w:val="002F0A40"/>
    <w:rsid w:val="003067A2"/>
    <w:rsid w:val="00321815"/>
    <w:rsid w:val="00323806"/>
    <w:rsid w:val="00323FF0"/>
    <w:rsid w:val="00340544"/>
    <w:rsid w:val="0036514B"/>
    <w:rsid w:val="003862F6"/>
    <w:rsid w:val="003C161D"/>
    <w:rsid w:val="003D772C"/>
    <w:rsid w:val="0042688D"/>
    <w:rsid w:val="00441890"/>
    <w:rsid w:val="00475EBA"/>
    <w:rsid w:val="00484EAE"/>
    <w:rsid w:val="00491EAE"/>
    <w:rsid w:val="004953E4"/>
    <w:rsid w:val="004A3CB9"/>
    <w:rsid w:val="004C4716"/>
    <w:rsid w:val="004C5DE1"/>
    <w:rsid w:val="004E5C36"/>
    <w:rsid w:val="004F1E9D"/>
    <w:rsid w:val="00504FF4"/>
    <w:rsid w:val="00511EB4"/>
    <w:rsid w:val="00527E92"/>
    <w:rsid w:val="00564B61"/>
    <w:rsid w:val="00564BED"/>
    <w:rsid w:val="00565E83"/>
    <w:rsid w:val="005748D1"/>
    <w:rsid w:val="005979DB"/>
    <w:rsid w:val="00610E1C"/>
    <w:rsid w:val="00643A5C"/>
    <w:rsid w:val="0065797F"/>
    <w:rsid w:val="00685A88"/>
    <w:rsid w:val="006B20BD"/>
    <w:rsid w:val="006C1D62"/>
    <w:rsid w:val="006D72F7"/>
    <w:rsid w:val="006F0F8B"/>
    <w:rsid w:val="006F49EB"/>
    <w:rsid w:val="00747992"/>
    <w:rsid w:val="0075563D"/>
    <w:rsid w:val="00766D99"/>
    <w:rsid w:val="0077459F"/>
    <w:rsid w:val="007833E8"/>
    <w:rsid w:val="007A7C29"/>
    <w:rsid w:val="007C4772"/>
    <w:rsid w:val="007F5D68"/>
    <w:rsid w:val="008241F1"/>
    <w:rsid w:val="00824286"/>
    <w:rsid w:val="008307B7"/>
    <w:rsid w:val="008566E3"/>
    <w:rsid w:val="008572CE"/>
    <w:rsid w:val="00863C11"/>
    <w:rsid w:val="00887B2B"/>
    <w:rsid w:val="008912D8"/>
    <w:rsid w:val="00895406"/>
    <w:rsid w:val="008A3343"/>
    <w:rsid w:val="008C27C7"/>
    <w:rsid w:val="008C4F40"/>
    <w:rsid w:val="008F3EFF"/>
    <w:rsid w:val="00901241"/>
    <w:rsid w:val="00905A28"/>
    <w:rsid w:val="00930963"/>
    <w:rsid w:val="00931776"/>
    <w:rsid w:val="00942FF9"/>
    <w:rsid w:val="00945802"/>
    <w:rsid w:val="00951096"/>
    <w:rsid w:val="009579BB"/>
    <w:rsid w:val="00961CBC"/>
    <w:rsid w:val="00967130"/>
    <w:rsid w:val="009737E0"/>
    <w:rsid w:val="009A0ECB"/>
    <w:rsid w:val="009A2B22"/>
    <w:rsid w:val="009B4342"/>
    <w:rsid w:val="009C5133"/>
    <w:rsid w:val="00A03A07"/>
    <w:rsid w:val="00A14B1E"/>
    <w:rsid w:val="00A2184B"/>
    <w:rsid w:val="00A3319B"/>
    <w:rsid w:val="00A361C1"/>
    <w:rsid w:val="00A4479A"/>
    <w:rsid w:val="00A5032C"/>
    <w:rsid w:val="00A52E65"/>
    <w:rsid w:val="00A71591"/>
    <w:rsid w:val="00A847D2"/>
    <w:rsid w:val="00AA5896"/>
    <w:rsid w:val="00AF025F"/>
    <w:rsid w:val="00AF4784"/>
    <w:rsid w:val="00B03999"/>
    <w:rsid w:val="00B14B1D"/>
    <w:rsid w:val="00B35027"/>
    <w:rsid w:val="00B46DBE"/>
    <w:rsid w:val="00B4794A"/>
    <w:rsid w:val="00B52E91"/>
    <w:rsid w:val="00B53C71"/>
    <w:rsid w:val="00B73BE6"/>
    <w:rsid w:val="00B77873"/>
    <w:rsid w:val="00B805E7"/>
    <w:rsid w:val="00BE6861"/>
    <w:rsid w:val="00BF46D2"/>
    <w:rsid w:val="00C369AC"/>
    <w:rsid w:val="00CF162E"/>
    <w:rsid w:val="00CF4C05"/>
    <w:rsid w:val="00D20B86"/>
    <w:rsid w:val="00D369F0"/>
    <w:rsid w:val="00DA2601"/>
    <w:rsid w:val="00DA276F"/>
    <w:rsid w:val="00DF0F30"/>
    <w:rsid w:val="00DF799F"/>
    <w:rsid w:val="00E247FC"/>
    <w:rsid w:val="00E24C59"/>
    <w:rsid w:val="00E42D79"/>
    <w:rsid w:val="00E5463D"/>
    <w:rsid w:val="00E73367"/>
    <w:rsid w:val="00E92DB5"/>
    <w:rsid w:val="00EC3123"/>
    <w:rsid w:val="00EC46C2"/>
    <w:rsid w:val="00EE047A"/>
    <w:rsid w:val="00EF15A2"/>
    <w:rsid w:val="00F24833"/>
    <w:rsid w:val="00F61DEF"/>
    <w:rsid w:val="00FA694E"/>
    <w:rsid w:val="00FB3B75"/>
    <w:rsid w:val="00FB4C31"/>
    <w:rsid w:val="00FB7275"/>
    <w:rsid w:val="00FD188A"/>
    <w:rsid w:val="00FD5E6C"/>
    <w:rsid w:val="00FE5ECB"/>
    <w:rsid w:val="00FE6B0A"/>
    <w:rsid w:val="00FF3EF4"/>
    <w:rsid w:val="00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F672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7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1041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1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12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412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104126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04126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0412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104126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unhideWhenUsed/>
    <w:rsid w:val="002014E2"/>
    <w:rPr>
      <w:sz w:val="32"/>
    </w:rPr>
  </w:style>
  <w:style w:type="character" w:customStyle="1" w:styleId="ZkladntextChar">
    <w:name w:val="Základní text Char"/>
    <w:basedOn w:val="Standardnpsmoodstavce"/>
    <w:link w:val="Zkladntext"/>
    <w:semiHidden/>
    <w:rsid w:val="002014E2"/>
    <w:rPr>
      <w:rFonts w:ascii="Times New Roman" w:eastAsia="Times New Roman" w:hAnsi="Times New Roman" w:cs="Times New Roman"/>
      <w:sz w:val="32"/>
      <w:szCs w:val="24"/>
      <w:lang w:eastAsia="cs-CZ"/>
    </w:rPr>
  </w:style>
  <w:style w:type="paragraph" w:customStyle="1" w:styleId="-wm-msonormal">
    <w:name w:val="-wm-msonormal"/>
    <w:basedOn w:val="Normln"/>
    <w:rsid w:val="00096022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8912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12D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  <w:style w:type="paragraph" w:customStyle="1" w:styleId="meta">
    <w:name w:val="meta"/>
    <w:basedOn w:val="Normln"/>
    <w:rsid w:val="008912D8"/>
    <w:pPr>
      <w:spacing w:before="100" w:beforeAutospacing="1" w:after="100" w:afterAutospacing="1"/>
    </w:pPr>
  </w:style>
  <w:style w:type="paragraph" w:customStyle="1" w:styleId="perex">
    <w:name w:val="perex"/>
    <w:basedOn w:val="Normln"/>
    <w:rsid w:val="008912D8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rsid w:val="008912D8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rsid w:val="008912D8"/>
    <w:rPr>
      <w:i/>
      <w:iCs/>
    </w:rPr>
  </w:style>
  <w:style w:type="paragraph" w:customStyle="1" w:styleId="podpis">
    <w:name w:val="podpis"/>
    <w:basedOn w:val="Normln"/>
    <w:rsid w:val="008912D8"/>
    <w:pPr>
      <w:spacing w:before="100" w:beforeAutospacing="1" w:after="100" w:afterAutospacing="1"/>
    </w:pPr>
  </w:style>
  <w:style w:type="character" w:customStyle="1" w:styleId="atm-date-formatted">
    <w:name w:val="atm-date-formatted"/>
    <w:basedOn w:val="Standardnpsmoodstavce"/>
    <w:rsid w:val="006C1D62"/>
  </w:style>
  <w:style w:type="character" w:customStyle="1" w:styleId="dy">
    <w:name w:val="d_y"/>
    <w:basedOn w:val="Standardnpsmoodstavce"/>
    <w:rsid w:val="006C1D62"/>
  </w:style>
  <w:style w:type="character" w:customStyle="1" w:styleId="gan">
    <w:name w:val="g_an"/>
    <w:basedOn w:val="Standardnpsmoodstavce"/>
    <w:rsid w:val="006C1D62"/>
  </w:style>
  <w:style w:type="paragraph" w:customStyle="1" w:styleId="dc7">
    <w:name w:val="d_c7"/>
    <w:basedOn w:val="Normln"/>
    <w:rsid w:val="006C1D62"/>
    <w:pPr>
      <w:spacing w:before="100" w:beforeAutospacing="1" w:after="100" w:afterAutospacing="1"/>
    </w:pPr>
  </w:style>
  <w:style w:type="character" w:customStyle="1" w:styleId="gam">
    <w:name w:val="g_am"/>
    <w:basedOn w:val="Standardnpsmoodstavce"/>
    <w:rsid w:val="006C1D62"/>
  </w:style>
  <w:style w:type="paragraph" w:styleId="Odstavecseseznamem">
    <w:name w:val="List Paragraph"/>
    <w:basedOn w:val="Normln"/>
    <w:uiPriority w:val="34"/>
    <w:qFormat/>
    <w:rsid w:val="00EC46C2"/>
    <w:pPr>
      <w:ind w:left="720"/>
      <w:contextualSpacing/>
    </w:pPr>
  </w:style>
  <w:style w:type="paragraph" w:customStyle="1" w:styleId="box-quotecontent-text">
    <w:name w:val="box-quote__content-text"/>
    <w:basedOn w:val="Normln"/>
    <w:rsid w:val="00A847D2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AF478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478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F478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478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2169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76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804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0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Borisoglebsk" TargetMode="External"/><Relationship Id="rId13" Type="http://schemas.openxmlformats.org/officeDocument/2006/relationships/hyperlink" Target="https://www.wagingpeace.org/the-effects-of-a-300-kiloton-nuclear-warhead-detonated-above-washington-d-c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enta.ru/articles/2023/07/13/lavrov/" TargetMode="External"/><Relationship Id="rId12" Type="http://schemas.openxmlformats.org/officeDocument/2006/relationships/hyperlink" Target="https://en.wikipedia.org/wiki/Little_Boy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maps/place/OC+%C5%A0estka/@50.1064053,14.2428671,13.12z/data=!4m6!3m5!1s0x470bbfa972b44edd:0x186214ca35ddfa8!8m2!3d50.0927479!4d14.2921017!16s%2Fg%2F126228ffh?hl=cs-CZ&amp;entry=tt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en.wikipedia.org/wiki/Nike_Zeu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Anti-Ballistic_Missile_Treaty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1384</Words>
  <Characters>8169</Characters>
  <Application>Microsoft Office Word</Application>
  <DocSecurity>8</DocSecurity>
  <Lines>68</Lines>
  <Paragraphs>19</Paragraphs>
  <ScaleCrop>false</ScaleCrop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2025-12-23T09:49:00Z</dcterms:created>
  <dcterms:modified xsi:type="dcterms:W3CDTF">2025-12-23T09:49:00Z</dcterms:modified>
</cp:coreProperties>
</file>