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E99" w:rsidRPr="00C54E99" w:rsidRDefault="00C54E99" w:rsidP="00C54E99">
      <w:pPr>
        <w:spacing w:after="105" w:line="750" w:lineRule="atLeast"/>
        <w:outlineLvl w:val="0"/>
        <w:rPr>
          <w:rFonts w:ascii="Arial" w:eastAsia="Times New Roman" w:hAnsi="Arial" w:cs="Arial"/>
          <w:color w:val="000000"/>
          <w:kern w:val="36"/>
          <w:sz w:val="62"/>
          <w:szCs w:val="62"/>
          <w:lang w:eastAsia="cs-CZ"/>
        </w:rPr>
      </w:pPr>
      <w:bookmarkStart w:id="0" w:name="_GoBack"/>
      <w:bookmarkEnd w:id="0"/>
      <w:r w:rsidRPr="00C54E99">
        <w:rPr>
          <w:rFonts w:ascii="Arial" w:eastAsia="Times New Roman" w:hAnsi="Arial" w:cs="Arial"/>
          <w:color w:val="000000"/>
          <w:kern w:val="36"/>
          <w:sz w:val="62"/>
          <w:szCs w:val="62"/>
          <w:lang w:eastAsia="cs-CZ"/>
        </w:rPr>
        <w:t>Podzemní pevnost ozbrojených sil Ukrajiny, jaká je složitost útoku na Bachmut</w:t>
      </w:r>
    </w:p>
    <w:p w:rsidR="00C54E99" w:rsidRPr="00C54E99" w:rsidRDefault="00C54E99" w:rsidP="00C54E99">
      <w:pPr>
        <w:spacing w:after="0" w:line="240" w:lineRule="auto"/>
        <w:rPr>
          <w:rFonts w:ascii="Open Sans" w:eastAsia="Times New Roman" w:hAnsi="Open Sans" w:cs="Open Sans"/>
          <w:color w:val="444444"/>
          <w:sz w:val="17"/>
          <w:szCs w:val="17"/>
          <w:lang w:eastAsia="cs-CZ"/>
        </w:rPr>
      </w:pPr>
      <w:r w:rsidRPr="00C54E99">
        <w:rPr>
          <w:rFonts w:ascii="Open Sans" w:eastAsia="Times New Roman" w:hAnsi="Open Sans" w:cs="Open Sans"/>
          <w:color w:val="444444"/>
          <w:sz w:val="17"/>
          <w:szCs w:val="17"/>
          <w:lang w:eastAsia="cs-CZ"/>
        </w:rPr>
        <w:t>Od</w:t>
      </w:r>
    </w:p>
    <w:p w:rsidR="00C54E99" w:rsidRPr="00C54E99" w:rsidRDefault="00C54E99" w:rsidP="00C54E99">
      <w:pPr>
        <w:spacing w:after="0" w:line="240" w:lineRule="auto"/>
        <w:rPr>
          <w:rFonts w:ascii="Open Sans" w:eastAsia="Times New Roman" w:hAnsi="Open Sans" w:cs="Open Sans"/>
          <w:color w:val="444444"/>
          <w:sz w:val="17"/>
          <w:szCs w:val="17"/>
          <w:lang w:eastAsia="cs-CZ"/>
        </w:rPr>
      </w:pPr>
      <w:r w:rsidRPr="00C54E99">
        <w:rPr>
          <w:rFonts w:ascii="Open Sans" w:eastAsia="Times New Roman" w:hAnsi="Open Sans" w:cs="Open Sans"/>
          <w:color w:val="444444"/>
          <w:sz w:val="17"/>
          <w:szCs w:val="17"/>
          <w:lang w:eastAsia="cs-CZ"/>
        </w:rPr>
        <w:t> </w:t>
      </w:r>
      <w:hyperlink r:id="rId6" w:history="1">
        <w:r w:rsidRPr="00C54E99">
          <w:rPr>
            <w:rFonts w:ascii="Open Sans" w:eastAsia="Times New Roman" w:hAnsi="Open Sans" w:cs="Open Sans"/>
            <w:b/>
            <w:bCs/>
            <w:color w:val="000000"/>
            <w:sz w:val="17"/>
            <w:szCs w:val="17"/>
            <w:lang w:eastAsia="cs-CZ"/>
          </w:rPr>
          <w:t>admin</w:t>
        </w:r>
      </w:hyperlink>
    </w:p>
    <w:p w:rsidR="00C54E99" w:rsidRPr="00C54E99" w:rsidRDefault="00C54E99" w:rsidP="00C54E99">
      <w:pPr>
        <w:spacing w:after="0" w:line="240" w:lineRule="auto"/>
        <w:rPr>
          <w:rFonts w:ascii="Open Sans" w:eastAsia="Times New Roman" w:hAnsi="Open Sans" w:cs="Open Sans"/>
          <w:color w:val="444444"/>
          <w:sz w:val="17"/>
          <w:szCs w:val="17"/>
          <w:lang w:eastAsia="cs-CZ"/>
        </w:rPr>
      </w:pPr>
      <w:r w:rsidRPr="00C54E99">
        <w:rPr>
          <w:rFonts w:ascii="Open Sans" w:eastAsia="Times New Roman" w:hAnsi="Open Sans" w:cs="Open Sans"/>
          <w:color w:val="444444"/>
          <w:sz w:val="17"/>
          <w:szCs w:val="17"/>
          <w:lang w:eastAsia="cs-CZ"/>
        </w:rPr>
        <w:t> -</w:t>
      </w:r>
    </w:p>
    <w:p w:rsidR="00C54E99" w:rsidRPr="00C54E99" w:rsidRDefault="00C54E99" w:rsidP="00C54E99">
      <w:pPr>
        <w:spacing w:line="240" w:lineRule="auto"/>
        <w:rPr>
          <w:rFonts w:ascii="Open Sans" w:eastAsia="Times New Roman" w:hAnsi="Open Sans" w:cs="Open Sans"/>
          <w:color w:val="000000"/>
          <w:sz w:val="17"/>
          <w:szCs w:val="17"/>
          <w:lang w:eastAsia="cs-CZ"/>
        </w:rPr>
      </w:pPr>
      <w:r w:rsidRPr="00C54E99">
        <w:rPr>
          <w:rFonts w:ascii="Open Sans" w:eastAsia="Times New Roman" w:hAnsi="Open Sans" w:cs="Open Sans"/>
          <w:color w:val="444444"/>
          <w:sz w:val="17"/>
          <w:szCs w:val="17"/>
          <w:lang w:eastAsia="cs-CZ"/>
        </w:rPr>
        <w:t>9.1.2023</w:t>
      </w:r>
    </w:p>
    <w:p w:rsidR="00C54E99" w:rsidRPr="00C54E99" w:rsidRDefault="00C54E99" w:rsidP="00C54E99">
      <w:pPr>
        <w:spacing w:after="0" w:line="315" w:lineRule="atLeast"/>
        <w:rPr>
          <w:rFonts w:ascii="Verdana" w:eastAsia="Times New Roman" w:hAnsi="Verdana" w:cs="Times New Roman"/>
          <w:color w:val="222222"/>
          <w:sz w:val="23"/>
          <w:szCs w:val="23"/>
          <w:lang w:eastAsia="cs-CZ"/>
        </w:rPr>
      </w:pPr>
      <w:r>
        <w:rPr>
          <w:rFonts w:ascii="Verdana" w:eastAsia="Times New Roman" w:hAnsi="Verdana" w:cs="Times New Roman"/>
          <w:noProof/>
          <w:color w:val="0000FF"/>
          <w:sz w:val="23"/>
          <w:szCs w:val="23"/>
          <w:lang w:eastAsia="cs-CZ"/>
        </w:rPr>
        <w:drawing>
          <wp:inline distT="0" distB="0" distL="0" distR="0">
            <wp:extent cx="5711825" cy="3943985"/>
            <wp:effectExtent l="0" t="0" r="3175" b="0"/>
            <wp:docPr id="4" name="Obrázek 4" descr="https://www.topcz.net/wp-content/uploads/2023/01/bachmout-01.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opcz.net/wp-content/uploads/2023/01/bachmout-01.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1825" cy="3943985"/>
                    </a:xfrm>
                    <a:prstGeom prst="rect">
                      <a:avLst/>
                    </a:prstGeom>
                    <a:noFill/>
                    <a:ln>
                      <a:noFill/>
                    </a:ln>
                  </pic:spPr>
                </pic:pic>
              </a:graphicData>
            </a:graphic>
          </wp:inline>
        </w:drawing>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color w:val="222222"/>
          <w:sz w:val="23"/>
          <w:szCs w:val="23"/>
          <w:lang w:eastAsia="cs-CZ"/>
        </w:rPr>
        <w:t>Vložil: Admin</w:t>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color w:val="222222"/>
          <w:sz w:val="23"/>
          <w:szCs w:val="23"/>
          <w:lang w:eastAsia="cs-CZ"/>
        </w:rPr>
        <w:t>Ti z vás, kteří sledujete stávající průběh války na Ukrajině, zajisté jste si všimli, jak </w:t>
      </w:r>
      <w:r w:rsidRPr="00C54E99">
        <w:rPr>
          <w:rFonts w:ascii="Verdana" w:eastAsia="Times New Roman" w:hAnsi="Verdana" w:cs="Times New Roman"/>
          <w:b/>
          <w:bCs/>
          <w:color w:val="222222"/>
          <w:sz w:val="23"/>
          <w:szCs w:val="23"/>
          <w:lang w:eastAsia="cs-CZ"/>
        </w:rPr>
        <w:t>velké problémy</w:t>
      </w:r>
      <w:r w:rsidRPr="00C54E99">
        <w:rPr>
          <w:rFonts w:ascii="Verdana" w:eastAsia="Times New Roman" w:hAnsi="Verdana" w:cs="Times New Roman"/>
          <w:color w:val="222222"/>
          <w:sz w:val="23"/>
          <w:szCs w:val="23"/>
          <w:lang w:eastAsia="cs-CZ"/>
        </w:rPr>
        <w:t> má ruská armáda a zejména </w:t>
      </w:r>
      <w:r w:rsidRPr="00C54E99">
        <w:rPr>
          <w:rFonts w:ascii="Verdana" w:eastAsia="Times New Roman" w:hAnsi="Verdana" w:cs="Times New Roman"/>
          <w:b/>
          <w:bCs/>
          <w:color w:val="222222"/>
          <w:sz w:val="23"/>
          <w:szCs w:val="23"/>
          <w:lang w:eastAsia="cs-CZ"/>
        </w:rPr>
        <w:t>síly skupiny Wagner,</w:t>
      </w:r>
      <w:r w:rsidRPr="00C54E99">
        <w:rPr>
          <w:rFonts w:ascii="Verdana" w:eastAsia="Times New Roman" w:hAnsi="Verdana" w:cs="Times New Roman"/>
          <w:color w:val="222222"/>
          <w:sz w:val="23"/>
          <w:szCs w:val="23"/>
          <w:lang w:eastAsia="cs-CZ"/>
        </w:rPr>
        <w:t> s dobytím a obsazením města </w:t>
      </w:r>
      <w:r w:rsidRPr="00C54E99">
        <w:rPr>
          <w:rFonts w:ascii="Verdana" w:eastAsia="Times New Roman" w:hAnsi="Verdana" w:cs="Times New Roman"/>
          <w:b/>
          <w:bCs/>
          <w:color w:val="222222"/>
          <w:sz w:val="23"/>
          <w:szCs w:val="23"/>
          <w:lang w:eastAsia="cs-CZ"/>
        </w:rPr>
        <w:t>Bachmut</w:t>
      </w:r>
      <w:r w:rsidRPr="00C54E99">
        <w:rPr>
          <w:rFonts w:ascii="Verdana" w:eastAsia="Times New Roman" w:hAnsi="Verdana" w:cs="Times New Roman"/>
          <w:color w:val="222222"/>
          <w:sz w:val="23"/>
          <w:szCs w:val="23"/>
          <w:lang w:eastAsia="cs-CZ"/>
        </w:rPr>
        <w:t>. Dlouhotrvající bitva o Bachmut je v tisku líčena jako symbol ruské slabosti. Člověk si pak musí položit otázku, co je na tom městě tak důležité, že se ho UA armáda snaží udržet za každou cenu, včetně obrovských ztrát? Když se podiváte na různé zdroje, ať již ruské, nebo mainstream, pořád jen čtete, že jde o velice důležitou křižovatku, která pak otevírá cestu dále na </w:t>
      </w:r>
      <w:r w:rsidRPr="00C54E99">
        <w:rPr>
          <w:rFonts w:ascii="Verdana" w:eastAsia="Times New Roman" w:hAnsi="Verdana" w:cs="Times New Roman"/>
          <w:b/>
          <w:bCs/>
          <w:color w:val="222222"/>
          <w:sz w:val="23"/>
          <w:szCs w:val="23"/>
          <w:lang w:eastAsia="cs-CZ"/>
        </w:rPr>
        <w:t>Slavjansk</w:t>
      </w:r>
      <w:r w:rsidRPr="00C54E99">
        <w:rPr>
          <w:rFonts w:ascii="Verdana" w:eastAsia="Times New Roman" w:hAnsi="Verdana" w:cs="Times New Roman"/>
          <w:color w:val="222222"/>
          <w:sz w:val="23"/>
          <w:szCs w:val="23"/>
          <w:lang w:eastAsia="cs-CZ"/>
        </w:rPr>
        <w:t> a </w:t>
      </w:r>
      <w:r w:rsidRPr="00C54E99">
        <w:rPr>
          <w:rFonts w:ascii="Verdana" w:eastAsia="Times New Roman" w:hAnsi="Verdana" w:cs="Times New Roman"/>
          <w:b/>
          <w:bCs/>
          <w:color w:val="222222"/>
          <w:sz w:val="23"/>
          <w:szCs w:val="23"/>
          <w:lang w:eastAsia="cs-CZ"/>
        </w:rPr>
        <w:t>Krematorsk.</w:t>
      </w:r>
    </w:p>
    <w:p w:rsidR="00C54E99" w:rsidRPr="00C54E99" w:rsidRDefault="00C54E99" w:rsidP="00C54E99">
      <w:pPr>
        <w:spacing w:after="315" w:line="315" w:lineRule="atLeast"/>
        <w:jc w:val="center"/>
        <w:rPr>
          <w:rFonts w:ascii="Verdana" w:eastAsia="Times New Roman" w:hAnsi="Verdana" w:cs="Times New Roman"/>
          <w:color w:val="222222"/>
          <w:sz w:val="23"/>
          <w:szCs w:val="23"/>
          <w:lang w:eastAsia="cs-CZ"/>
        </w:rPr>
      </w:pPr>
      <w:r>
        <w:rPr>
          <w:rFonts w:ascii="Verdana" w:eastAsia="Times New Roman" w:hAnsi="Verdana" w:cs="Times New Roman"/>
          <w:noProof/>
          <w:color w:val="222222"/>
          <w:sz w:val="23"/>
          <w:szCs w:val="23"/>
          <w:lang w:eastAsia="cs-CZ"/>
        </w:rPr>
        <w:lastRenderedPageBreak/>
        <w:drawing>
          <wp:inline distT="0" distB="0" distL="0" distR="0">
            <wp:extent cx="5711825" cy="5418455"/>
            <wp:effectExtent l="0" t="0" r="3175" b="0"/>
            <wp:docPr id="3" name="Obrázek 3" descr="bakchmut-mapa-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kchmut-mapa-6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825" cy="5418455"/>
                    </a:xfrm>
                    <a:prstGeom prst="rect">
                      <a:avLst/>
                    </a:prstGeom>
                    <a:noFill/>
                    <a:ln>
                      <a:noFill/>
                    </a:ln>
                  </pic:spPr>
                </pic:pic>
              </a:graphicData>
            </a:graphic>
          </wp:inline>
        </w:drawing>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color w:val="222222"/>
          <w:sz w:val="23"/>
          <w:szCs w:val="23"/>
          <w:lang w:eastAsia="cs-CZ"/>
        </w:rPr>
        <w:t>Ale dnes jsem zjistil, že skutečný důvod se pravděpodobně skrývá </w:t>
      </w:r>
      <w:r w:rsidRPr="00C54E99">
        <w:rPr>
          <w:rFonts w:ascii="Verdana" w:eastAsia="Times New Roman" w:hAnsi="Verdana" w:cs="Times New Roman"/>
          <w:b/>
          <w:bCs/>
          <w:color w:val="222222"/>
          <w:sz w:val="23"/>
          <w:szCs w:val="23"/>
          <w:lang w:eastAsia="cs-CZ"/>
        </w:rPr>
        <w:t>pod povrchem</w:t>
      </w:r>
      <w:r w:rsidRPr="00C54E99">
        <w:rPr>
          <w:rFonts w:ascii="Verdana" w:eastAsia="Times New Roman" w:hAnsi="Verdana" w:cs="Times New Roman"/>
          <w:color w:val="222222"/>
          <w:sz w:val="23"/>
          <w:szCs w:val="23"/>
          <w:lang w:eastAsia="cs-CZ"/>
        </w:rPr>
        <w:t> Bachmutu/Soledaru v </w:t>
      </w:r>
      <w:r w:rsidRPr="00C54E99">
        <w:rPr>
          <w:rFonts w:ascii="Verdana" w:eastAsia="Times New Roman" w:hAnsi="Verdana" w:cs="Times New Roman"/>
          <w:b/>
          <w:bCs/>
          <w:color w:val="222222"/>
          <w:sz w:val="23"/>
          <w:szCs w:val="23"/>
          <w:lang w:eastAsia="cs-CZ"/>
        </w:rPr>
        <w:t>Soledarských solných dolech</w:t>
      </w:r>
      <w:r w:rsidRPr="00C54E99">
        <w:rPr>
          <w:rFonts w:ascii="Verdana" w:eastAsia="Times New Roman" w:hAnsi="Verdana" w:cs="Times New Roman"/>
          <w:color w:val="222222"/>
          <w:sz w:val="23"/>
          <w:szCs w:val="23"/>
          <w:lang w:eastAsia="cs-CZ"/>
        </w:rPr>
        <w:t> (známých také jako Artyomsolické solné doly), v nichž se v hloubce 80-100 metrů pohybují nejen shluky lidí, ale také tanky a bojová vozidla pěchoty. Zásoby zbraní jsou zde uloženy již od první světové války. Solný důl je monstrum, které má </w:t>
      </w:r>
      <w:hyperlink r:id="rId10" w:tgtFrame="_blank" w:history="1">
        <w:r w:rsidRPr="00C54E99">
          <w:rPr>
            <w:rFonts w:ascii="Verdana" w:eastAsia="Times New Roman" w:hAnsi="Verdana" w:cs="Times New Roman"/>
            <w:b/>
            <w:bCs/>
            <w:color w:val="0000FF"/>
            <w:sz w:val="23"/>
            <w:szCs w:val="23"/>
            <w:lang w:eastAsia="cs-CZ"/>
          </w:rPr>
          <w:t>přes 200 km tunelů</w:t>
        </w:r>
      </w:hyperlink>
      <w:r w:rsidRPr="00C54E99">
        <w:rPr>
          <w:rFonts w:ascii="Verdana" w:eastAsia="Times New Roman" w:hAnsi="Verdana" w:cs="Times New Roman"/>
          <w:color w:val="222222"/>
          <w:sz w:val="23"/>
          <w:szCs w:val="23"/>
          <w:lang w:eastAsia="cs-CZ"/>
        </w:rPr>
        <w:t>.</w:t>
      </w:r>
    </w:p>
    <w:p w:rsidR="00C54E99" w:rsidRPr="00C54E99" w:rsidRDefault="00C54E99" w:rsidP="00C54E99">
      <w:pPr>
        <w:spacing w:after="315" w:line="315" w:lineRule="atLeast"/>
        <w:jc w:val="center"/>
        <w:rPr>
          <w:rFonts w:ascii="Verdana" w:eastAsia="Times New Roman" w:hAnsi="Verdana" w:cs="Times New Roman"/>
          <w:color w:val="222222"/>
          <w:sz w:val="23"/>
          <w:szCs w:val="23"/>
          <w:lang w:eastAsia="cs-CZ"/>
        </w:rPr>
      </w:pPr>
      <w:r>
        <w:rPr>
          <w:rFonts w:ascii="Verdana" w:eastAsia="Times New Roman" w:hAnsi="Verdana" w:cs="Times New Roman"/>
          <w:noProof/>
          <w:color w:val="222222"/>
          <w:sz w:val="23"/>
          <w:szCs w:val="23"/>
          <w:lang w:eastAsia="cs-CZ"/>
        </w:rPr>
        <w:lastRenderedPageBreak/>
        <w:drawing>
          <wp:inline distT="0" distB="0" distL="0" distR="0">
            <wp:extent cx="5711825" cy="3848735"/>
            <wp:effectExtent l="0" t="0" r="3175" b="0"/>
            <wp:docPr id="2" name="Obrázek 2" descr="bachmout-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hmout-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1825" cy="3848735"/>
                    </a:xfrm>
                    <a:prstGeom prst="rect">
                      <a:avLst/>
                    </a:prstGeom>
                    <a:noFill/>
                    <a:ln>
                      <a:noFill/>
                    </a:ln>
                  </pic:spPr>
                </pic:pic>
              </a:graphicData>
            </a:graphic>
          </wp:inline>
        </w:drawing>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color w:val="222222"/>
          <w:sz w:val="23"/>
          <w:szCs w:val="23"/>
          <w:lang w:eastAsia="cs-CZ"/>
        </w:rPr>
        <w:t>Před zahájením speciální vojenské operace na Ukrajině byl podnik </w:t>
      </w:r>
      <w:r w:rsidRPr="00C54E99">
        <w:rPr>
          <w:rFonts w:ascii="Verdana" w:eastAsia="Times New Roman" w:hAnsi="Verdana" w:cs="Times New Roman"/>
          <w:b/>
          <w:bCs/>
          <w:color w:val="222222"/>
          <w:sz w:val="23"/>
          <w:szCs w:val="23"/>
          <w:lang w:eastAsia="cs-CZ"/>
        </w:rPr>
        <w:t>Artyomsol</w:t>
      </w:r>
      <w:r w:rsidRPr="00C54E99">
        <w:rPr>
          <w:rFonts w:ascii="Verdana" w:eastAsia="Times New Roman" w:hAnsi="Verdana" w:cs="Times New Roman"/>
          <w:color w:val="222222"/>
          <w:sz w:val="23"/>
          <w:szCs w:val="23"/>
          <w:lang w:eastAsia="cs-CZ"/>
        </w:rPr>
        <w:t> největším podnikem na těžbu a prodej kuchyňské soli ve střední a východní Evropě. Skládá se z </w:t>
      </w:r>
      <w:r w:rsidRPr="00C54E99">
        <w:rPr>
          <w:rFonts w:ascii="Verdana" w:eastAsia="Times New Roman" w:hAnsi="Verdana" w:cs="Times New Roman"/>
          <w:b/>
          <w:bCs/>
          <w:color w:val="222222"/>
          <w:sz w:val="23"/>
          <w:szCs w:val="23"/>
          <w:lang w:eastAsia="cs-CZ"/>
        </w:rPr>
        <w:t>pěti solných dolů</w:t>
      </w:r>
      <w:r w:rsidRPr="00C54E99">
        <w:rPr>
          <w:rFonts w:ascii="Verdana" w:eastAsia="Times New Roman" w:hAnsi="Verdana" w:cs="Times New Roman"/>
          <w:color w:val="222222"/>
          <w:sz w:val="23"/>
          <w:szCs w:val="23"/>
          <w:lang w:eastAsia="cs-CZ"/>
        </w:rPr>
        <w:t>, které se nacházejí na území měst Soledar a Praskovievka: doly č. 1, č. 3, č. 4, č. 7 a důl Volodarskij. Jsou vzájemně </w:t>
      </w:r>
      <w:r w:rsidRPr="00C54E99">
        <w:rPr>
          <w:rFonts w:ascii="Verdana" w:eastAsia="Times New Roman" w:hAnsi="Verdana" w:cs="Times New Roman"/>
          <w:b/>
          <w:bCs/>
          <w:color w:val="222222"/>
          <w:sz w:val="23"/>
          <w:szCs w:val="23"/>
          <w:lang w:eastAsia="cs-CZ"/>
        </w:rPr>
        <w:t>propojeny</w:t>
      </w:r>
      <w:r w:rsidRPr="00C54E99">
        <w:rPr>
          <w:rFonts w:ascii="Verdana" w:eastAsia="Times New Roman" w:hAnsi="Verdana" w:cs="Times New Roman"/>
          <w:color w:val="222222"/>
          <w:sz w:val="23"/>
          <w:szCs w:val="23"/>
          <w:lang w:eastAsia="cs-CZ"/>
        </w:rPr>
        <w:t> </w:t>
      </w:r>
      <w:r w:rsidRPr="00C54E99">
        <w:rPr>
          <w:rFonts w:ascii="Verdana" w:eastAsia="Times New Roman" w:hAnsi="Verdana" w:cs="Times New Roman"/>
          <w:b/>
          <w:bCs/>
          <w:color w:val="222222"/>
          <w:sz w:val="23"/>
          <w:szCs w:val="23"/>
          <w:lang w:eastAsia="cs-CZ"/>
        </w:rPr>
        <w:t>železnicí a silnicí</w:t>
      </w:r>
      <w:r w:rsidRPr="00C54E99">
        <w:rPr>
          <w:rFonts w:ascii="Verdana" w:eastAsia="Times New Roman" w:hAnsi="Verdana" w:cs="Times New Roman"/>
          <w:color w:val="222222"/>
          <w:sz w:val="23"/>
          <w:szCs w:val="23"/>
          <w:lang w:eastAsia="cs-CZ"/>
        </w:rPr>
        <w:t> a také rozvinutým systémem podzemních komunikací, které po vypuknutí válečných akcí zdokonalil vojenský personál Ozbrojených sil Ukrajiny.</w:t>
      </w:r>
    </w:p>
    <w:p w:rsidR="00C54E99" w:rsidRPr="00C54E99" w:rsidRDefault="00C54E99" w:rsidP="00C54E99">
      <w:pPr>
        <w:spacing w:after="315" w:line="315" w:lineRule="atLeast"/>
        <w:jc w:val="center"/>
        <w:rPr>
          <w:rFonts w:ascii="Verdana" w:eastAsia="Times New Roman" w:hAnsi="Verdana" w:cs="Times New Roman"/>
          <w:color w:val="222222"/>
          <w:sz w:val="23"/>
          <w:szCs w:val="23"/>
          <w:lang w:eastAsia="cs-CZ"/>
        </w:rPr>
      </w:pPr>
      <w:r>
        <w:rPr>
          <w:rFonts w:ascii="Verdana" w:eastAsia="Times New Roman" w:hAnsi="Verdana" w:cs="Times New Roman"/>
          <w:noProof/>
          <w:color w:val="222222"/>
          <w:sz w:val="23"/>
          <w:szCs w:val="23"/>
          <w:lang w:eastAsia="cs-CZ"/>
        </w:rPr>
        <w:lastRenderedPageBreak/>
        <w:drawing>
          <wp:inline distT="0" distB="0" distL="0" distR="0">
            <wp:extent cx="5711825" cy="4182745"/>
            <wp:effectExtent l="0" t="0" r="3175" b="8255"/>
            <wp:docPr id="1" name="Obrázek 1" descr="soledar-03-tunely-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ledar-03-tunely-6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1825" cy="4182745"/>
                    </a:xfrm>
                    <a:prstGeom prst="rect">
                      <a:avLst/>
                    </a:prstGeom>
                    <a:noFill/>
                    <a:ln>
                      <a:noFill/>
                    </a:ln>
                  </pic:spPr>
                </pic:pic>
              </a:graphicData>
            </a:graphic>
          </wp:inline>
        </w:drawing>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color w:val="222222"/>
          <w:sz w:val="23"/>
          <w:szCs w:val="23"/>
          <w:lang w:eastAsia="cs-CZ"/>
        </w:rPr>
        <w:t>Betonem vyztužené důlní šachty mají hloubku 150 až 280 m. Pod nimi jsou komory, které mohou dosahovat šířky 17 m a výšky 13 m. K dopravě soli vytěžené vrtáním a odstřelem do šachty byla použita železniční doprava. Nyní se tedy pod kontrolou ozbrojených sil Ukrajiny v Soledaru a sousední Praskovjevce nacházejí obrovské propojené a opevněné podzemní prostory v hloubce několika set metrů.</w:t>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color w:val="222222"/>
          <w:sz w:val="23"/>
          <w:szCs w:val="23"/>
          <w:lang w:eastAsia="cs-CZ"/>
        </w:rPr>
        <w:t>Pro pochopení rozsahu těchto staveb lze uvést, že před začátkem NWO byly solné doly jedinou místní atrakcí. Podnikaly se tam skupinové exkurze, pořádaly tematické výstavy, koncerty symfonických orchestrů a v jedné z jeskyň bylo organizováno speleosanatorium Solná symfonie. A to vše souběžně s probíhající produkcí více než dvou milionů tun soli ročně.</w:t>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b/>
          <w:bCs/>
          <w:color w:val="222222"/>
          <w:sz w:val="23"/>
          <w:szCs w:val="23"/>
          <w:lang w:eastAsia="cs-CZ"/>
        </w:rPr>
        <w:t>Podzemní pevnost ozbrojených sil Ukrajiny</w:t>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color w:val="222222"/>
          <w:sz w:val="23"/>
          <w:szCs w:val="23"/>
          <w:lang w:eastAsia="cs-CZ"/>
        </w:rPr>
        <w:t>Systém solných dolů Artyomsol již využívají ozbrojené síly Ukrajiny jako podzemní pevnost. Ve </w:t>
      </w:r>
      <w:r w:rsidRPr="00C54E99">
        <w:rPr>
          <w:rFonts w:ascii="Verdana" w:eastAsia="Times New Roman" w:hAnsi="Verdana" w:cs="Times New Roman"/>
          <w:b/>
          <w:bCs/>
          <w:color w:val="222222"/>
          <w:sz w:val="23"/>
          <w:szCs w:val="23"/>
          <w:lang w:eastAsia="cs-CZ"/>
        </w:rPr>
        <w:t>velkých hloubkách</w:t>
      </w:r>
      <w:r w:rsidRPr="00C54E99">
        <w:rPr>
          <w:rFonts w:ascii="Verdana" w:eastAsia="Times New Roman" w:hAnsi="Verdana" w:cs="Times New Roman"/>
          <w:color w:val="222222"/>
          <w:sz w:val="23"/>
          <w:szCs w:val="23"/>
          <w:lang w:eastAsia="cs-CZ"/>
        </w:rPr>
        <w:t> jsou vybaveny sklady munice, ubikace pro personál a na některých místech i</w:t>
      </w:r>
      <w:r w:rsidRPr="00C54E99">
        <w:rPr>
          <w:rFonts w:ascii="Verdana" w:eastAsia="Times New Roman" w:hAnsi="Verdana" w:cs="Times New Roman"/>
          <w:b/>
          <w:bCs/>
          <w:color w:val="222222"/>
          <w:sz w:val="23"/>
          <w:szCs w:val="23"/>
          <w:lang w:eastAsia="cs-CZ"/>
        </w:rPr>
        <w:t> hangáry pro techniku</w:t>
      </w:r>
      <w:r w:rsidRPr="00C54E99">
        <w:rPr>
          <w:rFonts w:ascii="Verdana" w:eastAsia="Times New Roman" w:hAnsi="Verdana" w:cs="Times New Roman"/>
          <w:color w:val="222222"/>
          <w:sz w:val="23"/>
          <w:szCs w:val="23"/>
          <w:lang w:eastAsia="cs-CZ"/>
        </w:rPr>
        <w:t>. A „dostat“ se k nim z povrchu je téměř nemožné. Podzemní komunikace slouží ukrajinskému vojenskému personálu také k pohybu mezi pozicemi a přístupy a některé vchody do dolů jsou zaminovány a připraveny k vyhození do povětří. Z hlediska obtížnosti útoku mohou doly Artyomsol snadno konkurovat slavnému</w:t>
      </w:r>
      <w:r w:rsidRPr="00C54E99">
        <w:rPr>
          <w:rFonts w:ascii="Verdana" w:eastAsia="Times New Roman" w:hAnsi="Verdana" w:cs="Times New Roman"/>
          <w:b/>
          <w:bCs/>
          <w:color w:val="222222"/>
          <w:sz w:val="23"/>
          <w:szCs w:val="23"/>
          <w:lang w:eastAsia="cs-CZ"/>
        </w:rPr>
        <w:t> Azovstalu v Mariupolu.</w:t>
      </w:r>
    </w:p>
    <w:p w:rsidR="00C54E99" w:rsidRPr="00C54E99" w:rsidRDefault="00C54E99" w:rsidP="00C54E99">
      <w:pPr>
        <w:spacing w:after="315" w:line="315" w:lineRule="atLeast"/>
        <w:jc w:val="both"/>
        <w:rPr>
          <w:rFonts w:ascii="Verdana" w:eastAsia="Times New Roman" w:hAnsi="Verdana" w:cs="Times New Roman"/>
          <w:color w:val="222222"/>
          <w:sz w:val="23"/>
          <w:szCs w:val="23"/>
          <w:lang w:eastAsia="cs-CZ"/>
        </w:rPr>
      </w:pPr>
      <w:r w:rsidRPr="00C54E99">
        <w:rPr>
          <w:rFonts w:ascii="Verdana" w:eastAsia="Times New Roman" w:hAnsi="Verdana" w:cs="Times New Roman"/>
          <w:color w:val="222222"/>
          <w:sz w:val="23"/>
          <w:szCs w:val="23"/>
          <w:lang w:eastAsia="cs-CZ"/>
        </w:rPr>
        <w:t>To pomáhá vysvětlit, proč Ukrajina nasazuje stále méně lidí do boje v mlýnku na maso na povrchu. Jedná se o kritické zařízení. Je však možné, že Ukrajina v dolech uložila důkazy o svém programu biologických zbraní? Jde o víc než jen o klíčový přepravní/logistický uzel.</w:t>
      </w:r>
    </w:p>
    <w:p w:rsidR="00E20457" w:rsidRDefault="00E20457"/>
    <w:sectPr w:rsidR="00E2045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3FA" w:rsidRDefault="000633FA" w:rsidP="000633FA">
      <w:pPr>
        <w:spacing w:after="0" w:line="240" w:lineRule="auto"/>
      </w:pPr>
      <w:r>
        <w:separator/>
      </w:r>
    </w:p>
  </w:endnote>
  <w:endnote w:type="continuationSeparator" w:id="0">
    <w:p w:rsidR="000633FA" w:rsidRDefault="000633FA" w:rsidP="0006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Segoe UI"/>
    <w:charset w:val="EE"/>
    <w:family w:val="swiss"/>
    <w:pitch w:val="variable"/>
    <w:sig w:usb0="E00002EF" w:usb1="4000205B" w:usb2="00000028"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FA" w:rsidRDefault="000633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FA" w:rsidRDefault="000633F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FA" w:rsidRDefault="000633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3FA" w:rsidRDefault="000633FA" w:rsidP="000633FA">
      <w:pPr>
        <w:spacing w:after="0" w:line="240" w:lineRule="auto"/>
      </w:pPr>
      <w:r>
        <w:separator/>
      </w:r>
    </w:p>
  </w:footnote>
  <w:footnote w:type="continuationSeparator" w:id="0">
    <w:p w:rsidR="000633FA" w:rsidRDefault="000633FA" w:rsidP="00063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FA" w:rsidRDefault="000633F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FA" w:rsidRDefault="000633F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33FA" w:rsidRDefault="000633F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2NPnfjmu2R+yNq+A98iyVn1gMsV8IXv93hInpKhVOs0PW/P3wMIO2C3yUlqXJQb21EFRwl7VqDuJyJtzAiF/6A==" w:salt="f6VyIB9ZGTWtQUWxMSM3+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4E99"/>
    <w:rsid w:val="000633FA"/>
    <w:rsid w:val="00C54E99"/>
    <w:rsid w:val="00E204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C54E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E99"/>
    <w:rPr>
      <w:rFonts w:ascii="Times New Roman" w:eastAsia="Times New Roman" w:hAnsi="Times New Roman" w:cs="Times New Roman"/>
      <w:b/>
      <w:bCs/>
      <w:kern w:val="36"/>
      <w:sz w:val="48"/>
      <w:szCs w:val="48"/>
      <w:lang w:eastAsia="cs-CZ"/>
    </w:rPr>
  </w:style>
  <w:style w:type="character" w:styleId="Hypertextovodkaz">
    <w:name w:val="Hyperlink"/>
    <w:basedOn w:val="Standardnpsmoodstavce"/>
    <w:uiPriority w:val="99"/>
    <w:semiHidden/>
    <w:unhideWhenUsed/>
    <w:rsid w:val="00C54E99"/>
    <w:rPr>
      <w:color w:val="0000FF"/>
      <w:u w:val="single"/>
    </w:rPr>
  </w:style>
  <w:style w:type="character" w:customStyle="1" w:styleId="td-post-date">
    <w:name w:val="td-post-date"/>
    <w:basedOn w:val="Standardnpsmoodstavce"/>
    <w:rsid w:val="00C54E99"/>
  </w:style>
  <w:style w:type="paragraph" w:styleId="Normlnweb">
    <w:name w:val="Normal (Web)"/>
    <w:basedOn w:val="Normln"/>
    <w:uiPriority w:val="99"/>
    <w:semiHidden/>
    <w:unhideWhenUsed/>
    <w:rsid w:val="00C54E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54E99"/>
    <w:rPr>
      <w:b/>
      <w:bCs/>
    </w:rPr>
  </w:style>
  <w:style w:type="paragraph" w:styleId="Textbubliny">
    <w:name w:val="Balloon Text"/>
    <w:basedOn w:val="Normln"/>
    <w:link w:val="TextbublinyChar"/>
    <w:uiPriority w:val="99"/>
    <w:semiHidden/>
    <w:unhideWhenUsed/>
    <w:rsid w:val="00C54E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E99"/>
    <w:rPr>
      <w:rFonts w:ascii="Tahoma" w:hAnsi="Tahoma" w:cs="Tahoma"/>
      <w:sz w:val="16"/>
      <w:szCs w:val="16"/>
    </w:rPr>
  </w:style>
  <w:style w:type="paragraph" w:styleId="Zhlav">
    <w:name w:val="header"/>
    <w:basedOn w:val="Normln"/>
    <w:link w:val="ZhlavChar"/>
    <w:uiPriority w:val="99"/>
    <w:unhideWhenUsed/>
    <w:rsid w:val="000633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33FA"/>
  </w:style>
  <w:style w:type="paragraph" w:styleId="Zpat">
    <w:name w:val="footer"/>
    <w:basedOn w:val="Normln"/>
    <w:link w:val="ZpatChar"/>
    <w:uiPriority w:val="99"/>
    <w:unhideWhenUsed/>
    <w:rsid w:val="000633FA"/>
    <w:pPr>
      <w:tabs>
        <w:tab w:val="center" w:pos="4536"/>
        <w:tab w:val="right" w:pos="9072"/>
      </w:tabs>
      <w:spacing w:after="0" w:line="240" w:lineRule="auto"/>
    </w:pPr>
  </w:style>
  <w:style w:type="character" w:customStyle="1" w:styleId="ZpatChar">
    <w:name w:val="Zápatí Char"/>
    <w:basedOn w:val="Standardnpsmoodstavce"/>
    <w:link w:val="Zpat"/>
    <w:uiPriority w:val="99"/>
    <w:rsid w:val="0006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40684">
      <w:bodyDiv w:val="1"/>
      <w:marLeft w:val="0"/>
      <w:marRight w:val="0"/>
      <w:marTop w:val="0"/>
      <w:marBottom w:val="0"/>
      <w:divBdr>
        <w:top w:val="none" w:sz="0" w:space="0" w:color="auto"/>
        <w:left w:val="none" w:sz="0" w:space="0" w:color="auto"/>
        <w:bottom w:val="none" w:sz="0" w:space="0" w:color="auto"/>
        <w:right w:val="none" w:sz="0" w:space="0" w:color="auto"/>
      </w:divBdr>
      <w:divsChild>
        <w:div w:id="870800957">
          <w:marLeft w:val="0"/>
          <w:marRight w:val="0"/>
          <w:marTop w:val="0"/>
          <w:marBottom w:val="0"/>
          <w:divBdr>
            <w:top w:val="none" w:sz="0" w:space="0" w:color="auto"/>
            <w:left w:val="none" w:sz="0" w:space="0" w:color="auto"/>
            <w:bottom w:val="none" w:sz="0" w:space="0" w:color="auto"/>
            <w:right w:val="none" w:sz="0" w:space="0" w:color="auto"/>
          </w:divBdr>
          <w:divsChild>
            <w:div w:id="1744254951">
              <w:marLeft w:val="0"/>
              <w:marRight w:val="0"/>
              <w:marTop w:val="0"/>
              <w:marBottom w:val="240"/>
              <w:divBdr>
                <w:top w:val="none" w:sz="0" w:space="0" w:color="auto"/>
                <w:left w:val="none" w:sz="0" w:space="0" w:color="auto"/>
                <w:bottom w:val="none" w:sz="0" w:space="0" w:color="auto"/>
                <w:right w:val="none" w:sz="0" w:space="0" w:color="auto"/>
              </w:divBdr>
              <w:divsChild>
                <w:div w:id="1918401227">
                  <w:marLeft w:val="0"/>
                  <w:marRight w:val="0"/>
                  <w:marTop w:val="0"/>
                  <w:marBottom w:val="0"/>
                  <w:divBdr>
                    <w:top w:val="none" w:sz="0" w:space="0" w:color="auto"/>
                    <w:left w:val="none" w:sz="0" w:space="0" w:color="auto"/>
                    <w:bottom w:val="none" w:sz="0" w:space="0" w:color="auto"/>
                    <w:right w:val="none" w:sz="0" w:space="0" w:color="auto"/>
                  </w:divBdr>
                  <w:divsChild>
                    <w:div w:id="162746986">
                      <w:marLeft w:val="0"/>
                      <w:marRight w:val="30"/>
                      <w:marTop w:val="0"/>
                      <w:marBottom w:val="0"/>
                      <w:divBdr>
                        <w:top w:val="none" w:sz="0" w:space="0" w:color="auto"/>
                        <w:left w:val="none" w:sz="0" w:space="0" w:color="auto"/>
                        <w:bottom w:val="none" w:sz="0" w:space="0" w:color="auto"/>
                        <w:right w:val="none" w:sz="0" w:space="0" w:color="auto"/>
                      </w:divBdr>
                    </w:div>
                    <w:div w:id="9757187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43414235">
          <w:marLeft w:val="0"/>
          <w:marRight w:val="0"/>
          <w:marTop w:val="315"/>
          <w:marBottom w:val="0"/>
          <w:divBdr>
            <w:top w:val="none" w:sz="0" w:space="0" w:color="auto"/>
            <w:left w:val="none" w:sz="0" w:space="0" w:color="auto"/>
            <w:bottom w:val="none" w:sz="0" w:space="0" w:color="auto"/>
            <w:right w:val="none" w:sz="0" w:space="0" w:color="auto"/>
          </w:divBdr>
          <w:divsChild>
            <w:div w:id="183822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topcz.net/wp-content/uploads/2023/01/bachmout-01.jpg" TargetMode="Externa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opcz.net/author/admin/"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n.wikipedia.org/wiki/Soledar_Salt_Min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475</Words>
  <Characters>2807</Characters>
  <Application>Microsoft Office Word</Application>
  <DocSecurity>8</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2025-12-23T09:44:00Z</dcterms:created>
  <dcterms:modified xsi:type="dcterms:W3CDTF">2025-12-23T09:44:00Z</dcterms:modified>
</cp:coreProperties>
</file>